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jc w:val="center"/>
        <w:rPr>
          <w:b/>
        </w:rPr>
      </w:pPr>
      <w:r>
        <w:rPr>
          <w:b/>
        </w:rPr>
        <w:t xml:space="preserve">EDITAL DE DIVULGAÇÃO PROGRAD Nº </w:t>
      </w:r>
      <w:r>
        <w:rPr>
          <w:b/>
          <w:lang w:val="pt-BR"/>
        </w:rPr>
        <w:t>61</w:t>
      </w:r>
      <w:r>
        <w:rPr>
          <w:b/>
        </w:rPr>
        <w:t xml:space="preserve">, DE </w:t>
      </w:r>
      <w:r>
        <w:rPr>
          <w:b/>
          <w:lang w:val="pt-BR"/>
        </w:rPr>
        <w:t>29</w:t>
      </w:r>
      <w:r>
        <w:rPr>
          <w:b/>
        </w:rPr>
        <w:t xml:space="preserve"> DE </w:t>
      </w:r>
      <w:r>
        <w:rPr>
          <w:b/>
          <w:lang w:val="pt-BR"/>
        </w:rPr>
        <w:t>AGOSTO</w:t>
      </w:r>
      <w:r>
        <w:rPr>
          <w:b/>
        </w:rPr>
        <w:t xml:space="preserve"> DE 2019.</w:t>
      </w:r>
    </w:p>
    <w:p>
      <w:pPr>
        <w:ind w:firstLine="540"/>
        <w:jc w:val="center"/>
        <w:rPr>
          <w:b/>
        </w:rPr>
      </w:pPr>
    </w:p>
    <w:p>
      <w:pPr>
        <w:ind w:firstLine="540"/>
        <w:jc w:val="center"/>
        <w:rPr>
          <w:b/>
        </w:rPr>
      </w:pPr>
      <w:r>
        <w:rPr>
          <w:b/>
        </w:rPr>
        <w:t>RESULTADO DA 2ª ETAPA DA SELEÇÃO DE PROJETOS DE ENSINO DE GRADUAÇÃO</w:t>
      </w:r>
    </w:p>
    <w:p>
      <w:pPr>
        <w:jc w:val="both"/>
      </w:pPr>
    </w:p>
    <w:p>
      <w:pPr>
        <w:ind w:firstLine="540"/>
        <w:jc w:val="both"/>
      </w:pPr>
    </w:p>
    <w:p>
      <w:pPr>
        <w:pStyle w:val="21"/>
        <w:keepNext w:val="0"/>
        <w:keepLines w:val="0"/>
        <w:widowControl/>
        <w:bidi w:val="0"/>
        <w:spacing w:before="0" w:beforeAutospacing="0" w:after="0" w:afterAutospacing="0"/>
        <w:ind w:left="0" w:right="0" w:firstLine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pt-BR"/>
        </w:rPr>
        <w:t>A PRÓ-REITORA DE ENSINO DE GRADUAÇÃO, da Fundação Universidade Federal da Grande Dourados, no uso das atribuições que lhe foram conferidas pelas Portarias da Reitora da UFGD n os 538/2015 de 12/06/2015, e 617/2019, de 17/06/2019, considerando o Edital de abertura PROGRAD nº 18 de 28 junho de 2019,RESOLVE:</w:t>
      </w:r>
    </w:p>
    <w:p>
      <w:pPr>
        <w:ind w:firstLine="851"/>
        <w:jc w:val="both"/>
        <w:rPr>
          <w:b/>
        </w:rPr>
      </w:pPr>
    </w:p>
    <w:p>
      <w:pPr>
        <w:ind w:firstLine="540"/>
        <w:jc w:val="both"/>
        <w:rPr>
          <w:b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overflowPunct w:val="0"/>
        <w:bidi w:val="0"/>
        <w:snapToGrid/>
        <w:spacing w:before="361" w:after="361"/>
        <w:ind w:left="567" w:firstLine="0"/>
        <w:jc w:val="both"/>
        <w:textAlignment w:val="auto"/>
      </w:pPr>
      <w:r>
        <w:t xml:space="preserve">Divulgar, na forma do Anexo I, </w:t>
      </w:r>
      <w:r>
        <w:rPr>
          <w:lang w:val="pt-BR"/>
        </w:rPr>
        <w:t>a classificação e o resultado final das Propostas de Projetos de Ensino de Graduação com ônus, após a Análise de Mérito e Relevância.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overflowPunct w:val="0"/>
        <w:bidi w:val="0"/>
        <w:snapToGrid/>
        <w:spacing w:before="361" w:after="361"/>
        <w:ind w:left="567" w:firstLine="0"/>
        <w:jc w:val="both"/>
        <w:textAlignment w:val="auto"/>
      </w:pPr>
      <w:r>
        <w:t>Condicionar a execução das Propostas à disponibilidade orçamentária.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361" w:after="361"/>
        <w:jc w:val="both"/>
        <w:textAlignment w:val="auto"/>
      </w:pPr>
    </w:p>
    <w:p>
      <w:pPr>
        <w:jc w:val="both"/>
        <w:rPr>
          <w:color w:val="000000"/>
        </w:rPr>
      </w:pPr>
    </w:p>
    <w:p>
      <w:pPr>
        <w:ind w:left="1851" w:firstLine="0"/>
        <w:jc w:val="both"/>
        <w:rPr>
          <w:color w:val="000000"/>
        </w:rPr>
      </w:pPr>
    </w:p>
    <w:p>
      <w:pPr>
        <w:pStyle w:val="20"/>
        <w:ind w:left="0" w:firstLine="0"/>
        <w:rPr>
          <w:color w:val="000000"/>
        </w:rPr>
      </w:pPr>
    </w:p>
    <w:p>
      <w:pPr>
        <w:ind w:left="1851" w:firstLine="0"/>
        <w:jc w:val="both"/>
        <w:rPr>
          <w:color w:val="000000"/>
        </w:rPr>
      </w:pPr>
    </w:p>
    <w:p>
      <w:pPr>
        <w:pStyle w:val="20"/>
        <w:rPr>
          <w:color w:val="000000"/>
        </w:rPr>
      </w:pPr>
    </w:p>
    <w:p>
      <w:pPr>
        <w:ind w:left="1851" w:firstLine="0"/>
        <w:jc w:val="both"/>
        <w:rPr>
          <w:color w:val="000000"/>
        </w:rPr>
      </w:pPr>
      <w:r>
        <w:rPr>
          <w:color w:val="000000"/>
        </w:rPr>
        <w:t xml:space="preserve">Dourados-MS, </w:t>
      </w:r>
      <w:r>
        <w:rPr>
          <w:color w:val="000000"/>
          <w:lang w:val="pt-BR"/>
        </w:rPr>
        <w:t>29 de agosto</w:t>
      </w:r>
      <w:r>
        <w:rPr>
          <w:color w:val="000000"/>
        </w:rPr>
        <w:t xml:space="preserve"> de 201</w:t>
      </w:r>
      <w:r>
        <w:rPr>
          <w:color w:val="000000"/>
          <w:lang w:val="pt-BR"/>
        </w:rPr>
        <w:t>9</w:t>
      </w:r>
      <w:r>
        <w:rPr>
          <w:color w:val="000000"/>
        </w:rPr>
        <w:t>.</w:t>
      </w:r>
    </w:p>
    <w:p>
      <w:pPr>
        <w:tabs>
          <w:tab w:val="left" w:pos="8280"/>
        </w:tabs>
        <w:rPr>
          <w:color w:val="000000"/>
        </w:rPr>
      </w:pPr>
    </w:p>
    <w:p>
      <w:pPr>
        <w:tabs>
          <w:tab w:val="left" w:pos="8280"/>
        </w:tabs>
        <w:rPr>
          <w:color w:val="000000"/>
        </w:rPr>
      </w:pPr>
    </w:p>
    <w:p>
      <w:pPr>
        <w:tabs>
          <w:tab w:val="left" w:pos="8280"/>
        </w:tabs>
        <w:rPr>
          <w:color w:val="000000"/>
        </w:rPr>
      </w:pPr>
    </w:p>
    <w:p>
      <w:pPr>
        <w:tabs>
          <w:tab w:val="left" w:pos="8280"/>
        </w:tabs>
        <w:rPr>
          <w:color w:val="000000"/>
        </w:rPr>
      </w:pPr>
    </w:p>
    <w:p>
      <w:pPr>
        <w:tabs>
          <w:tab w:val="left" w:pos="8280"/>
        </w:tabs>
        <w:rPr>
          <w:color w:val="000000"/>
        </w:rPr>
      </w:pPr>
    </w:p>
    <w:p>
      <w:pPr>
        <w:tabs>
          <w:tab w:val="left" w:pos="8280"/>
        </w:tabs>
        <w:jc w:val="right"/>
        <w:rPr>
          <w:color w:val="000000"/>
        </w:rPr>
      </w:pPr>
    </w:p>
    <w:p>
      <w:pPr>
        <w:pStyle w:val="4"/>
        <w:keepNext w:val="0"/>
        <w:keepLines w:val="0"/>
        <w:pageBreakBefore w:val="0"/>
        <w:widowControl/>
        <w:overflowPunct w:val="0"/>
        <w:bidi w:val="0"/>
        <w:snapToGrid/>
        <w:spacing w:before="0" w:beforeAutospacing="0" w:after="0" w:afterAutospacing="0"/>
        <w:ind w:left="0" w:right="0" w:firstLine="567"/>
        <w:jc w:val="right"/>
        <w:textAlignment w:val="auto"/>
        <w:rPr>
          <w:color w:val="000000"/>
        </w:rPr>
      </w:pPr>
      <w:r>
        <w:rPr>
          <w:rFonts w:eastAsia="Tahoma" w:cs="Times New Roman"/>
          <w:color w:val="000000"/>
          <w:kern w:val="0"/>
          <w:sz w:val="24"/>
          <w:szCs w:val="24"/>
          <w:lang w:val="pt-BR" w:eastAsia="zh-CN" w:bidi="ar"/>
        </w:rPr>
        <w:t>Selma Helena Marchiori Hashimoto</w:t>
      </w:r>
    </w:p>
    <w:p>
      <w:pPr>
        <w:pStyle w:val="4"/>
        <w:keepNext w:val="0"/>
        <w:keepLines w:val="0"/>
        <w:pageBreakBefore w:val="0"/>
        <w:widowControl/>
        <w:overflowPunct w:val="0"/>
        <w:bidi w:val="0"/>
        <w:snapToGrid/>
        <w:spacing w:before="0" w:beforeAutospacing="0" w:after="0" w:afterAutospacing="0"/>
        <w:ind w:left="0" w:right="0" w:firstLine="567"/>
        <w:jc w:val="right"/>
        <w:textAlignment w:val="auto"/>
        <w:rPr>
          <w:color w:val="000000"/>
        </w:rPr>
        <w:sectPr>
          <w:headerReference r:id="rId3" w:type="default"/>
          <w:pgSz w:w="11906" w:h="16838"/>
          <w:pgMar w:top="480" w:right="1701" w:bottom="1417" w:left="1701" w:header="423" w:footer="0" w:gutter="0"/>
          <w:pgNumType w:fmt="decimal"/>
          <w:formProt w:val="0"/>
          <w:docGrid w:linePitch="360" w:charSpace="0"/>
        </w:sectPr>
      </w:pPr>
      <w:r>
        <w:rPr>
          <w:rFonts w:eastAsia="Tahoma" w:cs="Times New Roman"/>
          <w:color w:val="000000"/>
          <w:kern w:val="0"/>
          <w:sz w:val="24"/>
          <w:szCs w:val="24"/>
          <w:lang w:val="pt-BR" w:eastAsia="zh-CN" w:bidi="ar"/>
        </w:rPr>
        <w:t>Pró Reitora de Ensino de Graduação.</w:t>
      </w:r>
    </w:p>
    <w:p>
      <w:pPr>
        <w:jc w:val="center"/>
        <w:rPr>
          <w:b/>
        </w:rPr>
      </w:pPr>
      <w:r>
        <w:rPr>
          <w:b/>
        </w:rPr>
        <w:t xml:space="preserve">      EDITAL DE DIVULGAÇÃO PROGRAD Nº </w:t>
      </w:r>
      <w:r>
        <w:rPr>
          <w:b/>
          <w:lang w:val="pt-BR"/>
        </w:rPr>
        <w:t>61</w:t>
      </w:r>
      <w:r>
        <w:rPr>
          <w:b/>
        </w:rPr>
        <w:t xml:space="preserve">, DE </w:t>
      </w:r>
      <w:r>
        <w:rPr>
          <w:b/>
          <w:lang w:val="pt-BR"/>
        </w:rPr>
        <w:t>29</w:t>
      </w:r>
      <w:r>
        <w:rPr>
          <w:b/>
        </w:rPr>
        <w:t xml:space="preserve"> DE </w:t>
      </w:r>
      <w:r>
        <w:rPr>
          <w:b/>
          <w:lang w:val="pt-BR"/>
        </w:rPr>
        <w:t>AGOSTO</w:t>
      </w:r>
      <w:r>
        <w:rPr>
          <w:b/>
        </w:rPr>
        <w:t xml:space="preserve"> DE 201</w:t>
      </w:r>
      <w:r>
        <w:rPr>
          <w:b/>
          <w:lang w:val="pt-BR"/>
        </w:rPr>
        <w:t>9</w:t>
      </w:r>
      <w:r>
        <w:rPr>
          <w:b/>
        </w:rPr>
        <w:t>.</w:t>
      </w:r>
    </w:p>
    <w:p>
      <w:pPr>
        <w:jc w:val="center"/>
        <w:rPr>
          <w:b/>
        </w:rPr>
      </w:pPr>
      <w:r>
        <w:rPr>
          <w:b/>
        </w:rPr>
        <w:t>ANEXO I</w:t>
      </w:r>
    </w:p>
    <w:p>
      <w:pPr>
        <w:jc w:val="center"/>
      </w:pPr>
      <w:r>
        <w:rPr>
          <w:b/>
          <w:bCs/>
        </w:rPr>
        <w:t>Resultado preliminar da análise de Mérito e Relevância do Edital da seleção de Projetos de Ensino de Graduação com ônus</w:t>
      </w:r>
    </w:p>
    <w:p>
      <w:pPr>
        <w:jc w:val="center"/>
      </w:pPr>
      <w:r>
        <w:rPr>
          <w:b/>
          <w:bCs/>
        </w:rPr>
        <w:tab/>
      </w:r>
      <w:r>
        <w:rPr>
          <w:b/>
          <w:bCs/>
        </w:rPr>
        <w:t xml:space="preserve">Edital </w:t>
      </w:r>
      <w:r>
        <w:rPr>
          <w:b/>
          <w:bCs/>
          <w:lang w:val="pt-BR"/>
        </w:rPr>
        <w:t>18</w:t>
      </w:r>
      <w:r>
        <w:rPr>
          <w:b/>
          <w:bCs/>
        </w:rPr>
        <w:t>/201</w:t>
      </w:r>
      <w:r>
        <w:rPr>
          <w:b/>
          <w:bCs/>
          <w:lang w:val="pt-BR"/>
        </w:rPr>
        <w:t>9</w:t>
      </w:r>
    </w:p>
    <w:p>
      <w:pPr>
        <w:jc w:val="center"/>
        <w:rPr>
          <w:b/>
          <w:bCs/>
          <w:lang w:val="pt-BR"/>
        </w:rPr>
      </w:pPr>
    </w:p>
    <w:p>
      <w:pPr>
        <w:jc w:val="center"/>
        <w:rPr>
          <w:b/>
          <w:bCs/>
          <w:lang w:val="pt-BR"/>
        </w:rPr>
      </w:pPr>
    </w:p>
    <w:tbl>
      <w:tblPr>
        <w:tblStyle w:val="10"/>
        <w:tblW w:w="14434" w:type="dxa"/>
        <w:tblInd w:w="-2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72"/>
        <w:gridCol w:w="1191"/>
        <w:gridCol w:w="3178"/>
        <w:gridCol w:w="8593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14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left"/>
              <w:textAlignment w:val="center"/>
              <w:rPr>
                <w:b/>
                <w:lang w:val="pt-BR"/>
              </w:rPr>
            </w:pPr>
            <w:r>
              <w:rPr>
                <w:rFonts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Classificação</w:t>
            </w:r>
          </w:p>
        </w:tc>
        <w:tc>
          <w:tcPr>
            <w:tcW w:w="1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center"/>
              <w:textAlignment w:val="bottom"/>
            </w:pPr>
            <w:r>
              <w:rPr>
                <w:rFonts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Pontuação</w:t>
            </w:r>
          </w:p>
        </w:tc>
        <w:tc>
          <w:tcPr>
            <w:tcW w:w="3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center"/>
              <w:textAlignment w:val="bottom"/>
            </w:pPr>
            <w:r>
              <w:rPr>
                <w:rFonts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Docente</w:t>
            </w:r>
          </w:p>
        </w:tc>
        <w:tc>
          <w:tcPr>
            <w:tcW w:w="8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center"/>
              <w:textAlignment w:val="bottom"/>
            </w:pPr>
            <w:r>
              <w:rPr>
                <w:rFonts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Título do PEG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147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lang w:val="pt-BR"/>
              </w:rPr>
            </w:pPr>
            <w:r>
              <w:rPr>
                <w:rFonts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center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30,25</w:t>
            </w:r>
          </w:p>
        </w:tc>
        <w:tc>
          <w:tcPr>
            <w:tcW w:w="317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Paulino Barroso Medina Junior</w:t>
            </w:r>
          </w:p>
        </w:tc>
        <w:tc>
          <w:tcPr>
            <w:tcW w:w="859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Áreas Naturais Protegidas em Mato Grosso do Sul: Desafios e Oportunidade de Gestão.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1" w:hRule="atLeast"/>
        </w:trPr>
        <w:tc>
          <w:tcPr>
            <w:tcW w:w="147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lang w:val="pt-BR"/>
              </w:rPr>
            </w:pPr>
            <w:r>
              <w:rPr>
                <w:rFonts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center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17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Viviana de Oliveira Torres</w:t>
            </w:r>
          </w:p>
        </w:tc>
        <w:tc>
          <w:tcPr>
            <w:tcW w:w="859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Artrópodes Incrustados em resina: um recurso alternativo para coleções didáticas e preservação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147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lang w:val="pt-BR"/>
              </w:rPr>
            </w:pPr>
            <w:r>
              <w:rPr>
                <w:rFonts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center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29,25</w:t>
            </w:r>
          </w:p>
        </w:tc>
        <w:tc>
          <w:tcPr>
            <w:tcW w:w="317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Jairo Campos Gaona</w:t>
            </w:r>
          </w:p>
        </w:tc>
        <w:tc>
          <w:tcPr>
            <w:tcW w:w="859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Interdisciplinaridade como Ferramenta de Estudos da Fauna e Flora do Pantanal Sul-Mato-Grossense: Um paradigma em relação à aprendizagem - Ano XIV, edição 2020Artrópodes Incrustados em resina: um recurso alternativo para coleções didáticas e preservação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7" w:hRule="atLeast"/>
        </w:trPr>
        <w:tc>
          <w:tcPr>
            <w:tcW w:w="147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lang w:val="pt-BR"/>
              </w:rPr>
            </w:pPr>
            <w:r>
              <w:rPr>
                <w:rFonts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center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28,75</w:t>
            </w:r>
          </w:p>
        </w:tc>
        <w:tc>
          <w:tcPr>
            <w:tcW w:w="317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Alessandra Mayumi Tokura Alovisi</w:t>
            </w:r>
          </w:p>
        </w:tc>
        <w:tc>
          <w:tcPr>
            <w:tcW w:w="859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Processo de ensino e aprendizagem da disciplina Fertilidade do solo e adubação: estratégia prática do ensino através da pesquisa – ano VI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147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lang w:val="pt-BR"/>
              </w:rPr>
            </w:pPr>
            <w:r>
              <w:rPr>
                <w:rFonts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center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28,5</w:t>
            </w:r>
          </w:p>
        </w:tc>
        <w:tc>
          <w:tcPr>
            <w:tcW w:w="317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Daniele Menezes Albuquerque</w:t>
            </w:r>
          </w:p>
        </w:tc>
        <w:tc>
          <w:tcPr>
            <w:tcW w:w="859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Piscicultura da teoria à pratica: Cultivar é fácil ANO IV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7" w:hRule="atLeast"/>
        </w:trPr>
        <w:tc>
          <w:tcPr>
            <w:tcW w:w="147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lang w:val="pt-BR"/>
              </w:rPr>
            </w:pPr>
            <w:r>
              <w:rPr>
                <w:rFonts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center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28,25</w:t>
            </w:r>
          </w:p>
        </w:tc>
        <w:tc>
          <w:tcPr>
            <w:tcW w:w="317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Elenice Souza dos Reis Goes</w:t>
            </w:r>
          </w:p>
        </w:tc>
        <w:tc>
          <w:tcPr>
            <w:tcW w:w="859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Aproveitamento de Resíduos do Beneficiamento do Pescado para o Consumo Humano.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7" w:hRule="atLeast"/>
        </w:trPr>
        <w:tc>
          <w:tcPr>
            <w:tcW w:w="147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lang w:val="pt-BR"/>
              </w:rPr>
            </w:pPr>
            <w:r>
              <w:rPr>
                <w:rFonts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center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17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Dacley Hertes Neu</w:t>
            </w:r>
          </w:p>
        </w:tc>
        <w:tc>
          <w:tcPr>
            <w:tcW w:w="859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Implantação de uma fábrica de ração didática para os cursos da Faculdade de Ciências Agrárias – FCA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147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lang w:val="pt-BR"/>
              </w:rPr>
            </w:pPr>
            <w:r>
              <w:rPr>
                <w:rFonts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center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17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Herintha Coeto Neitzke-Abreu</w:t>
            </w:r>
          </w:p>
        </w:tc>
        <w:tc>
          <w:tcPr>
            <w:tcW w:w="859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Complementação de material prático para auxílio na disciplina de Genética Médica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147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lang w:val="pt-BR"/>
              </w:rPr>
            </w:pPr>
            <w:r>
              <w:rPr>
                <w:rFonts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center"/>
              <w:textAlignment w:val="bottom"/>
              <w:rPr>
                <w:b/>
              </w:rPr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24,75</w:t>
            </w:r>
          </w:p>
        </w:tc>
        <w:tc>
          <w:tcPr>
            <w:tcW w:w="317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Tiago Dziekaniak Figueiredo</w:t>
            </w:r>
          </w:p>
        </w:tc>
        <w:tc>
          <w:tcPr>
            <w:tcW w:w="859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Livro digital “Informática na Educação Matemática: possibilidade para o atual e o futuro professor – Volume 5”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7" w:hRule="atLeast"/>
        </w:trPr>
        <w:tc>
          <w:tcPr>
            <w:tcW w:w="147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lang w:val="pt-BR"/>
              </w:rPr>
            </w:pPr>
            <w:r>
              <w:rPr>
                <w:rFonts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center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24,5</w:t>
            </w:r>
          </w:p>
        </w:tc>
        <w:tc>
          <w:tcPr>
            <w:tcW w:w="317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Tathiana Elisa Masetto</w:t>
            </w:r>
          </w:p>
        </w:tc>
        <w:tc>
          <w:tcPr>
            <w:tcW w:w="859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Tecnologia de alimentos: estudando os alimentos de origem vegetal e animal – edição 2020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147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lang w:val="pt-BR"/>
              </w:rPr>
            </w:pPr>
            <w:r>
              <w:rPr>
                <w:rFonts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center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24,25</w:t>
            </w:r>
          </w:p>
        </w:tc>
        <w:tc>
          <w:tcPr>
            <w:tcW w:w="317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Simone Seccon</w:t>
            </w:r>
          </w:p>
        </w:tc>
        <w:tc>
          <w:tcPr>
            <w:tcW w:w="859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Práticas Inter e Transdisciplinares em Educação Ambiental 2020.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1" w:hRule="atLeast"/>
        </w:trPr>
        <w:tc>
          <w:tcPr>
            <w:tcW w:w="147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lang w:val="pt-BR"/>
              </w:rPr>
            </w:pPr>
            <w:r>
              <w:rPr>
                <w:rFonts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center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17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Arthur Carniato Sanches</w:t>
            </w:r>
          </w:p>
        </w:tc>
        <w:tc>
          <w:tcPr>
            <w:tcW w:w="859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Desenvolvimento de Equipamentos Hidráulicos – Roda d’água e Carneiro Hidráulico.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7" w:hRule="atLeast"/>
        </w:trPr>
        <w:tc>
          <w:tcPr>
            <w:tcW w:w="147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lang w:val="pt-BR"/>
              </w:rPr>
            </w:pPr>
            <w:r>
              <w:rPr>
                <w:rFonts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center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17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Diego Marques da Silva Medeiros</w:t>
            </w:r>
          </w:p>
        </w:tc>
        <w:tc>
          <w:tcPr>
            <w:tcW w:w="859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Educação e Interpretação Ambiental na Serra da Bodoquena – Edição 2020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7" w:hRule="atLeast"/>
        </w:trPr>
        <w:tc>
          <w:tcPr>
            <w:tcW w:w="147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lang w:val="pt-BR"/>
              </w:rPr>
            </w:pPr>
            <w:r>
              <w:rPr>
                <w:rFonts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center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23,75</w:t>
            </w:r>
          </w:p>
        </w:tc>
        <w:tc>
          <w:tcPr>
            <w:tcW w:w="317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Eliana Janet Sanjinez  Argondoña</w:t>
            </w:r>
          </w:p>
        </w:tc>
        <w:tc>
          <w:tcPr>
            <w:tcW w:w="859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Utilização de recursos tecnológicos no processo do Ensino aprendizagem de Análise de Alimentos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1" w:hRule="atLeast"/>
        </w:trPr>
        <w:tc>
          <w:tcPr>
            <w:tcW w:w="147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lang w:val="pt-BR"/>
              </w:rPr>
            </w:pPr>
            <w:r>
              <w:rPr>
                <w:rFonts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center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23,5</w:t>
            </w:r>
          </w:p>
        </w:tc>
        <w:tc>
          <w:tcPr>
            <w:tcW w:w="317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Elisângela Dupas</w:t>
            </w:r>
          </w:p>
        </w:tc>
        <w:tc>
          <w:tcPr>
            <w:tcW w:w="859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Omissão de macro e micronutrientes para as principais culturais de interesse econômico para a região de Dourados/MS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1" w:hRule="atLeast"/>
        </w:trPr>
        <w:tc>
          <w:tcPr>
            <w:tcW w:w="147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lang w:val="pt-BR"/>
              </w:rPr>
            </w:pPr>
            <w:r>
              <w:rPr>
                <w:rFonts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center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22,25</w:t>
            </w:r>
          </w:p>
        </w:tc>
        <w:tc>
          <w:tcPr>
            <w:tcW w:w="317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Maria Aparecida Farias de Souza Nogueira</w:t>
            </w:r>
          </w:p>
        </w:tc>
        <w:tc>
          <w:tcPr>
            <w:tcW w:w="859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Trabalho Científico em Ciências Contábeis: como elaborar o projeto e o resultado de pesquisa, ano V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147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lang w:val="pt-BR"/>
              </w:rPr>
            </w:pPr>
            <w:r>
              <w:rPr>
                <w:rFonts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center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17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Mábio Silvan José da Silva</w:t>
            </w:r>
          </w:p>
        </w:tc>
        <w:tc>
          <w:tcPr>
            <w:tcW w:w="859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Planejamento técnico e manejo de áreas de pastagens como ferramenta de capacitação e articulação entre teoria e prática nos cursos de ciências agrárias – Ano I – Edição 2020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147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lang w:val="pt-BR"/>
              </w:rPr>
            </w:pPr>
            <w:r>
              <w:rPr>
                <w:rFonts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center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21,5</w:t>
            </w:r>
          </w:p>
        </w:tc>
        <w:tc>
          <w:tcPr>
            <w:tcW w:w="317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Valguima Victoria Viana Aguiar Odakura</w:t>
            </w:r>
          </w:p>
        </w:tc>
        <w:tc>
          <w:tcPr>
            <w:tcW w:w="859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Desenvolvimento de objetos de aprendizagem digitais para aprendizagem de Algorítimos e Estrutura de Dados I e Laboratórios de Programação I (ano II, edição 2020)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147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lang w:val="pt-BR"/>
              </w:rPr>
            </w:pPr>
            <w:r>
              <w:rPr>
                <w:rFonts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center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17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Rosalice Lopes</w:t>
            </w:r>
          </w:p>
        </w:tc>
        <w:tc>
          <w:tcPr>
            <w:tcW w:w="859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Empatia e Compreensão Empática no Atendimento Psicológico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7" w:hRule="atLeast"/>
        </w:trPr>
        <w:tc>
          <w:tcPr>
            <w:tcW w:w="147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</w:pPr>
            <w:r>
              <w:rPr>
                <w:rFonts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center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20,75</w:t>
            </w:r>
          </w:p>
        </w:tc>
        <w:tc>
          <w:tcPr>
            <w:tcW w:w="317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Paulo Vinicius da Silva</w:t>
            </w:r>
          </w:p>
        </w:tc>
        <w:tc>
          <w:tcPr>
            <w:tcW w:w="859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Herbarização (Herbários) e Ferramentas de Identificação de Plantas Daninhas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7" w:hRule="atLeast"/>
        </w:trPr>
        <w:tc>
          <w:tcPr>
            <w:tcW w:w="147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</w:pPr>
            <w:r>
              <w:rPr>
                <w:rFonts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center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20,25</w:t>
            </w:r>
          </w:p>
        </w:tc>
        <w:tc>
          <w:tcPr>
            <w:tcW w:w="317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Mariana Zampar Toledo</w:t>
            </w:r>
          </w:p>
        </w:tc>
        <w:tc>
          <w:tcPr>
            <w:tcW w:w="859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Roteiros para aplicação de DRP em propriedades familiares e organização de dias de campo como prática metodológica no ensino da Extensão rural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147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</w:pPr>
            <w:r>
              <w:rPr>
                <w:rFonts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center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17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Sheila Nogueira de Oliveira</w:t>
            </w:r>
          </w:p>
        </w:tc>
        <w:tc>
          <w:tcPr>
            <w:tcW w:w="859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Cultivo de Peixes Ornamentais como ferramenta para o estudo fenotípico, de viabilidade econômica de mercado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147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</w:pPr>
            <w:r>
              <w:rPr>
                <w:rFonts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center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19,75</w:t>
            </w:r>
          </w:p>
        </w:tc>
        <w:tc>
          <w:tcPr>
            <w:tcW w:w="317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Andrea Maria de Araújo Gabriel</w:t>
            </w:r>
          </w:p>
        </w:tc>
        <w:tc>
          <w:tcPr>
            <w:tcW w:w="859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Manejo reprodutivo e escrituração zootécnica na criação de coelhos – Ano VI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7" w:hRule="atLeast"/>
        </w:trPr>
        <w:tc>
          <w:tcPr>
            <w:tcW w:w="147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</w:pPr>
            <w:r>
              <w:rPr>
                <w:rFonts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center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19,5</w:t>
            </w:r>
          </w:p>
        </w:tc>
        <w:tc>
          <w:tcPr>
            <w:tcW w:w="317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Vera Luci de Almeida</w:t>
            </w:r>
          </w:p>
        </w:tc>
        <w:tc>
          <w:tcPr>
            <w:tcW w:w="859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Elaboração de Planos de Gerenciamento de Resíduos Sólidos (PGRS)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147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25</w:t>
            </w:r>
          </w:p>
        </w:tc>
        <w:tc>
          <w:tcPr>
            <w:tcW w:w="11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center"/>
              <w:textAlignment w:val="bottom"/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19,25</w:t>
            </w:r>
          </w:p>
        </w:tc>
        <w:tc>
          <w:tcPr>
            <w:tcW w:w="317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t>A</w:t>
            </w:r>
            <w:r>
              <w:rPr>
                <w:rFonts w:hint="default"/>
                <w:lang w:val="pt-BR"/>
              </w:rPr>
              <w:t>driana Fátima de Souza Miola</w:t>
            </w:r>
          </w:p>
        </w:tc>
        <w:tc>
          <w:tcPr>
            <w:tcW w:w="859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/>
                <w:lang w:val="pt-BR"/>
              </w:rPr>
              <w:t>Materiais Didáticos para a aprendizagem Matemática de alunos com Necessidade Educativas Especiais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147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hint="default"/>
                <w:lang w:val="pt-BR"/>
              </w:rPr>
            </w:pPr>
            <w:r>
              <w:rPr>
                <w:rFonts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6</w:t>
            </w:r>
          </w:p>
        </w:tc>
        <w:tc>
          <w:tcPr>
            <w:tcW w:w="11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center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17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Jane Corrêa Alves Mendonça</w:t>
            </w:r>
          </w:p>
        </w:tc>
        <w:tc>
          <w:tcPr>
            <w:tcW w:w="859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 Estudo Bibliométrico nas Disciplinas de Administração da Produção I e II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147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hint="default"/>
                <w:lang w:val="pt-BR"/>
              </w:rPr>
            </w:pPr>
            <w:r>
              <w:rPr>
                <w:rFonts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7</w:t>
            </w:r>
          </w:p>
        </w:tc>
        <w:tc>
          <w:tcPr>
            <w:tcW w:w="11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center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17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Antonio Carlos Vaz Lopes</w:t>
            </w:r>
          </w:p>
        </w:tc>
        <w:tc>
          <w:tcPr>
            <w:tcW w:w="859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Conhecimento e relato de Experiencias sobre pratica de Contabilidade Gerencial a partir de Visitas técnica.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7" w:hRule="atLeast"/>
        </w:trPr>
        <w:tc>
          <w:tcPr>
            <w:tcW w:w="147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hint="default"/>
                <w:lang w:val="pt-BR"/>
              </w:rPr>
            </w:pPr>
            <w:r>
              <w:rPr>
                <w:rFonts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8</w:t>
            </w:r>
          </w:p>
        </w:tc>
        <w:tc>
          <w:tcPr>
            <w:tcW w:w="11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center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17,5</w:t>
            </w:r>
          </w:p>
        </w:tc>
        <w:tc>
          <w:tcPr>
            <w:tcW w:w="317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Virginia Demarchi Kappel Trichez</w:t>
            </w:r>
          </w:p>
        </w:tc>
        <w:tc>
          <w:tcPr>
            <w:tcW w:w="859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jc w:val="left"/>
              <w:textAlignment w:val="bottom"/>
            </w:pPr>
            <w:r>
              <w:rPr>
                <w:rFonts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Atualização e complementação de material didático para aulas práticas da disciplina de Bioquímica do curso de Nutrição</w:t>
            </w:r>
          </w:p>
        </w:tc>
      </w:tr>
    </w:tbl>
    <w:p/>
    <w:sectPr>
      <w:headerReference r:id="rId4" w:type="default"/>
      <w:pgSz w:w="16838" w:h="11906" w:orient="landscape"/>
      <w:pgMar w:top="1701" w:right="1103" w:bottom="709" w:left="1417" w:header="423" w:footer="0" w:gutter="0"/>
      <w:pgNumType w:fmt="decimal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Gotham Bold">
    <w:altName w:val="Liberation Mono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  <w:lang w:eastAsia="ar-SA"/>
      </w:rPr>
    </w:pPr>
    <w:r>
      <w:drawing>
        <wp:anchor distT="0" distB="0" distL="0" distR="0" simplePos="0" relativeHeight="1024" behindDoc="1" locked="0" layoutInCell="1" allowOverlap="1">
          <wp:simplePos x="0" y="0"/>
          <wp:positionH relativeFrom="column">
            <wp:posOffset>292735</wp:posOffset>
          </wp:positionH>
          <wp:positionV relativeFrom="paragraph">
            <wp:posOffset>3810</wp:posOffset>
          </wp:positionV>
          <wp:extent cx="600710" cy="688975"/>
          <wp:effectExtent l="0" t="0" r="0" b="0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710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000000"/>
        <w:position w:val="-17"/>
        <w:sz w:val="20"/>
        <w:szCs w:val="20"/>
      </w:rPr>
      <w:tab/>
    </w:r>
  </w:p>
  <w:p>
    <w:pPr>
      <w:suppressAutoHyphens/>
      <w:jc w:val="center"/>
    </w:pPr>
    <w:r>
      <w:drawing>
        <wp:inline distT="0" distB="0" distL="0" distR="0">
          <wp:extent cx="2381885" cy="266065"/>
          <wp:effectExtent l="0" t="0" r="0" b="0"/>
          <wp:docPr id="2" name="Imagem 4" descr="http://portal.ufgd.edu.br/public/images/logo_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1885" cy="266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tabs>
        <w:tab w:val="center" w:pos="4252"/>
        <w:tab w:val="right" w:pos="8504"/>
      </w:tabs>
      <w:suppressAutoHyphens/>
      <w:jc w:val="center"/>
      <w:rPr>
        <w:rFonts w:ascii="Gotham Bold" w:hAnsi="Gotham Bold" w:cs="Tahoma"/>
        <w:color w:val="385623"/>
        <w:lang w:eastAsia="ar-SA"/>
      </w:rPr>
    </w:pPr>
    <w:r>
      <w:rPr>
        <w:rFonts w:ascii="Gotham Bold" w:hAnsi="Gotham Bold" w:cs="Tahoma"/>
        <w:color w:val="385623"/>
        <w:lang w:eastAsia="ar-SA"/>
      </w:rPr>
      <w:t>Pró-Reitoria de Ensino de Graduação - PROGRAD</w:t>
    </w:r>
  </w:p>
  <w:p>
    <w:pPr>
      <w:tabs>
        <w:tab w:val="center" w:pos="4252"/>
        <w:tab w:val="right" w:pos="8504"/>
      </w:tabs>
      <w:suppressAutoHyphens/>
      <w:jc w:val="center"/>
      <w:rPr>
        <w:lang w:eastAsia="ar-SA"/>
      </w:rPr>
    </w:pPr>
    <w:r>
      <w:rPr>
        <w:rFonts w:ascii="Gotham Bold" w:hAnsi="Gotham Bold" w:cs="Tahoma"/>
        <w:color w:val="385623"/>
        <w:lang w:eastAsia="ar-SA"/>
      </w:rPr>
      <w:softHyphen/>
    </w:r>
    <w:r>
      <w:rPr>
        <w:rFonts w:ascii="Tahoma" w:hAnsi="Tahoma" w:cs="Tahoma"/>
        <w:color w:val="385623"/>
        <w:lang w:eastAsia="ar-SA"/>
      </w:rPr>
      <w:t>________________________________________________________________</w:t>
    </w:r>
  </w:p>
  <w:p>
    <w:pPr>
      <w:tabs>
        <w:tab w:val="center" w:pos="4252"/>
        <w:tab w:val="right" w:pos="8504"/>
      </w:tabs>
      <w:suppressAutoHyphens/>
      <w:jc w:val="center"/>
      <w:rPr>
        <w:rFonts w:ascii="Gotham Bold" w:hAnsi="Gotham Bold" w:cs="Tahoma"/>
        <w:color w:val="385623"/>
        <w:lang w:eastAsia="ar-SA"/>
      </w:rPr>
    </w:pPr>
    <w:r>
      <w:rPr>
        <w:rFonts w:ascii="Arial" w:hAnsi="Arial" w:cs="Arial"/>
        <w:color w:val="000000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drawing>
        <wp:anchor distT="0" distB="0" distL="0" distR="0" simplePos="0" relativeHeight="1024" behindDoc="1" locked="0" layoutInCell="1" allowOverlap="1">
          <wp:simplePos x="0" y="0"/>
          <wp:positionH relativeFrom="column">
            <wp:posOffset>292735</wp:posOffset>
          </wp:positionH>
          <wp:positionV relativeFrom="paragraph">
            <wp:posOffset>3810</wp:posOffset>
          </wp:positionV>
          <wp:extent cx="600710" cy="688975"/>
          <wp:effectExtent l="0" t="0" r="0" b="0"/>
          <wp:wrapNone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710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000000"/>
        <w:position w:val="-17"/>
        <w:sz w:val="20"/>
        <w:szCs w:val="20"/>
      </w:rPr>
      <w:tab/>
    </w:r>
  </w:p>
  <w:p>
    <w:pPr>
      <w:suppressAutoHyphens/>
      <w:jc w:val="center"/>
    </w:pPr>
    <w:r>
      <w:drawing>
        <wp:inline distT="0" distB="0" distL="0" distR="0">
          <wp:extent cx="2381885" cy="266065"/>
          <wp:effectExtent l="0" t="0" r="0" b="0"/>
          <wp:docPr id="4" name="Figura2" descr="http://portal.ufgd.edu.br/public/images/logo_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1885" cy="266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tabs>
        <w:tab w:val="center" w:pos="4252"/>
        <w:tab w:val="right" w:pos="8504"/>
      </w:tabs>
      <w:suppressAutoHyphens/>
      <w:jc w:val="center"/>
    </w:pPr>
    <w:r>
      <w:rPr>
        <w:rFonts w:ascii="Gotham Bold" w:hAnsi="Gotham Bold" w:cs="Tahoma"/>
        <w:color w:val="385623"/>
        <w:lang w:eastAsia="ar-SA"/>
      </w:rPr>
      <w:t>Pró-Reitoria de Ensino de Graduação - PROGRAD</w:t>
    </w:r>
  </w:p>
  <w:p>
    <w:pPr>
      <w:tabs>
        <w:tab w:val="center" w:pos="4252"/>
        <w:tab w:val="right" w:pos="8504"/>
      </w:tabs>
      <w:suppressAutoHyphens/>
      <w:jc w:val="center"/>
    </w:pPr>
    <w:r>
      <w:rPr>
        <w:rFonts w:ascii="Gotham Bold" w:hAnsi="Gotham Bold" w:cs="Tahoma"/>
        <w:color w:val="385623"/>
        <w:lang w:eastAsia="ar-SA"/>
      </w:rPr>
      <w:softHyphen/>
    </w:r>
    <w:r>
      <w:rPr>
        <w:rFonts w:ascii="Tahoma" w:hAnsi="Tahoma" w:cs="Tahoma"/>
        <w:color w:val="385623"/>
        <w:lang w:eastAsia="ar-SA"/>
      </w:rPr>
      <w:t>________________________________________________________________</w:t>
    </w:r>
  </w:p>
  <w:p>
    <w:pPr>
      <w:tabs>
        <w:tab w:val="center" w:pos="4252"/>
        <w:tab w:val="right" w:pos="8504"/>
      </w:tabs>
      <w:suppressAutoHyphens/>
      <w:jc w:val="center"/>
    </w:pPr>
    <w:r>
      <w:rPr>
        <w:rFonts w:ascii="Arial" w:hAnsi="Arial" w:cs="Arial"/>
        <w:color w:val="0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3107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bidi w:val="0"/>
      <w:spacing w:before="0" w:after="0" w:line="240" w:lineRule="auto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uiPriority w:val="0"/>
    <w:rPr>
      <w:rFonts w:cs="Arial"/>
    </w:rPr>
  </w:style>
  <w:style w:type="paragraph" w:styleId="3">
    <w:name w:val="Body Text"/>
    <w:basedOn w:val="1"/>
    <w:uiPriority w:val="0"/>
    <w:pPr>
      <w:spacing w:before="0" w:after="140" w:line="276" w:lineRule="auto"/>
    </w:pPr>
  </w:style>
  <w:style w:type="paragraph" w:styleId="4">
    <w:name w:val="Normal (Web)"/>
    <w:basedOn w:val="1"/>
    <w:semiHidden/>
    <w:unhideWhenUsed/>
    <w:qFormat/>
    <w:uiPriority w:val="99"/>
    <w:rPr>
      <w:szCs w:val="24"/>
    </w:rPr>
  </w:style>
  <w:style w:type="paragraph" w:styleId="5">
    <w:name w:val="header"/>
    <w:basedOn w:val="1"/>
    <w:unhideWhenUsed/>
    <w:uiPriority w:val="99"/>
    <w:pPr>
      <w:tabs>
        <w:tab w:val="center" w:pos="4252"/>
        <w:tab w:val="right" w:pos="8504"/>
      </w:tabs>
    </w:pPr>
  </w:style>
  <w:style w:type="paragraph" w:styleId="6">
    <w:name w:val="footer"/>
    <w:basedOn w:val="1"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8">
    <w:name w:val="Balloon Text"/>
    <w:basedOn w:val="1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11">
    <w:name w:val="Link da Internet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Texto de balão Char"/>
    <w:basedOn w:val="9"/>
    <w:semiHidden/>
    <w:qFormat/>
    <w:uiPriority w:val="99"/>
    <w:rPr>
      <w:rFonts w:ascii="Tahoma" w:hAnsi="Tahoma" w:eastAsia="Times New Roman" w:cs="Tahoma"/>
      <w:sz w:val="16"/>
      <w:szCs w:val="16"/>
      <w:lang w:eastAsia="pt-BR"/>
    </w:rPr>
  </w:style>
  <w:style w:type="character" w:customStyle="1" w:styleId="13">
    <w:name w:val="Cabeçalho Char"/>
    <w:basedOn w:val="9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4">
    <w:name w:val="Rodapé Char"/>
    <w:basedOn w:val="9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5">
    <w:name w:val="ListLabel 1"/>
    <w:qFormat/>
    <w:uiPriority w:val="0"/>
  </w:style>
  <w:style w:type="character" w:customStyle="1" w:styleId="16">
    <w:name w:val="ListLabel 2"/>
    <w:qFormat/>
    <w:uiPriority w:val="0"/>
  </w:style>
  <w:style w:type="paragraph" w:customStyle="1" w:styleId="17">
    <w:name w:val="Título11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8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19">
    <w:name w:val="Título1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20">
    <w:name w:val="List Paragraph"/>
    <w:basedOn w:val="1"/>
    <w:qFormat/>
    <w:uiPriority w:val="34"/>
    <w:pPr>
      <w:ind w:left="708" w:firstLine="0"/>
    </w:pPr>
  </w:style>
  <w:style w:type="paragraph" w:customStyle="1" w:styleId="21">
    <w:name w:val="western"/>
    <w:qFormat/>
    <w:uiPriority w:val="0"/>
    <w:pPr>
      <w:widowControl w:val="0"/>
      <w:bidi w:val="0"/>
      <w:jc w:val="left"/>
    </w:pPr>
    <w:rPr>
      <w:rFonts w:ascii="Tahoma" w:hAnsi="Tahoma" w:eastAsia="Tahoma" w:cs="Tahoma"/>
      <w:color w:val="auto"/>
      <w:kern w:val="0"/>
      <w:sz w:val="24"/>
      <w:szCs w:val="24"/>
      <w:lang w:val="en-US" w:eastAsia="zh-CN" w:bidi="ar"/>
    </w:rPr>
  </w:style>
  <w:style w:type="paragraph" w:customStyle="1" w:styleId="22">
    <w:name w:val="Conteúdo da tabela"/>
    <w:basedOn w:val="1"/>
    <w:qFormat/>
    <w:uiPriority w:val="0"/>
    <w:pPr>
      <w:suppressLineNumbers/>
    </w:pPr>
  </w:style>
  <w:style w:type="paragraph" w:customStyle="1" w:styleId="23">
    <w:name w:val="Título de tabela"/>
    <w:basedOn w:val="22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741</Words>
  <Characters>4199</Characters>
  <Paragraphs>134</Paragraphs>
  <TotalTime>0</TotalTime>
  <ScaleCrop>false</ScaleCrop>
  <LinksUpToDate>false</LinksUpToDate>
  <CharactersWithSpaces>4830</CharactersWithSpaces>
  <Application>WPS Office_11.2.0.8934_F1E327BC-269C-435d-A152-05C5408002CA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2017-07-12T15:54:00Z</dcterms:created>
  <dc:creator>Elizangela de Souza Bernardes</dc:creator>
  <cp:lastModifiedBy>elizangelabernardes</cp:lastModifiedBy>
  <dcterms:modified xsi:type="dcterms:W3CDTF">2019-09-03T17:57:35Z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1046-11.2.0.8934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